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CE5" w:rsidRDefault="00CD347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1.5pt;height:60.0pt;mso-wrap-distance-left:0.0pt;mso-wrap-distance-top:0.0pt;mso-wrap-distance-right:0.0pt;mso-wrap-distance-bottom:0.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653CE5" w:rsidRDefault="00653CE5">
      <w:pPr>
        <w:jc w:val="center"/>
        <w:rPr>
          <w:rFonts w:ascii="Arial" w:hAnsi="Arial" w:cs="Arial"/>
          <w:sz w:val="6"/>
          <w:szCs w:val="6"/>
        </w:rPr>
      </w:pPr>
    </w:p>
    <w:p w:rsidR="00653CE5" w:rsidRDefault="00CD347C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653CE5" w:rsidRDefault="00CD347C">
      <w:pPr>
        <w:pStyle w:val="af4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13335" t="7620" r="9525" b="11430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line id="shape 1" o:spid="_x0000_s1" style="position:absolute;left:0;text-align:left;z-index:251661312;mso-wrap-distance-left:9.0pt;mso-wrap-distance-top:0.0pt;mso-wrap-distance-right:9.0pt;mso-wrap-distance-bottom:0.0pt;visibility:visible;" from="0.0pt,7.3pt" to="465.4pt,7.3pt" filled="f" strokecolor="#000000" strokeweight="0.50pt"/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22860" t="23495" r="19050" b="21590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line id="shape 2" o:spid="_x0000_s2" style="position:absolute;left:0;text-align:left;z-index:251660288;mso-wrap-distance-left:9.0pt;mso-wrap-distance-top:0.0pt;mso-wrap-distance-right:9.0pt;mso-wrap-distance-bottom:0.0pt;flip:y;visibility:visible;" from="0.0pt,4.0pt" to="465.4pt,4.2pt" filled="f" strokecolor="#000000" strokeweight="2.50pt"/>
            </w:pict>
          </mc:Fallback>
        </mc:AlternateContent>
      </w:r>
    </w:p>
    <w:p w:rsidR="00653CE5" w:rsidRDefault="00653CE5">
      <w:pPr>
        <w:pStyle w:val="af4"/>
        <w:jc w:val="center"/>
        <w:rPr>
          <w:rFonts w:ascii="PT Astra Serif" w:hAnsi="PT Astra Serif"/>
          <w:b/>
        </w:rPr>
      </w:pPr>
    </w:p>
    <w:p w:rsidR="00653CE5" w:rsidRDefault="00CD347C">
      <w:pPr>
        <w:pStyle w:val="af4"/>
        <w:jc w:val="center"/>
        <w:rPr>
          <w:rFonts w:ascii="PT Astra Serif" w:hAnsi="PT Astra Serif"/>
          <w:b/>
          <w:sz w:val="30"/>
        </w:rPr>
      </w:pPr>
      <w:proofErr w:type="gramStart"/>
      <w:r>
        <w:rPr>
          <w:rFonts w:ascii="PT Astra Serif" w:hAnsi="PT Astra Serif"/>
          <w:b/>
          <w:sz w:val="30"/>
        </w:rPr>
        <w:t>П</w:t>
      </w:r>
      <w:proofErr w:type="gramEnd"/>
      <w:r>
        <w:rPr>
          <w:rFonts w:ascii="PT Astra Serif" w:hAnsi="PT Astra Serif"/>
          <w:b/>
          <w:sz w:val="30"/>
        </w:rPr>
        <w:t xml:space="preserve"> Р И К А З</w:t>
      </w:r>
    </w:p>
    <w:p w:rsidR="00653CE5" w:rsidRDefault="00653CE5">
      <w:pPr>
        <w:pStyle w:val="af4"/>
        <w:jc w:val="center"/>
        <w:rPr>
          <w:rFonts w:ascii="PT Astra Serif" w:hAnsi="PT Astra Serif"/>
          <w:b/>
        </w:rPr>
      </w:pPr>
    </w:p>
    <w:p w:rsidR="00653CE5" w:rsidRDefault="00CD347C">
      <w:pPr>
        <w:pStyle w:val="af4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</w:t>
      </w:r>
      <w:r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___</w:t>
      </w:r>
      <w:r>
        <w:rPr>
          <w:rFonts w:ascii="PT Astra Serif" w:hAnsi="PT Astra Serif"/>
          <w:color w:val="FFFFFF"/>
          <w:sz w:val="28"/>
          <w:szCs w:val="28"/>
        </w:rPr>
        <w:t>______</w:t>
      </w:r>
    </w:p>
    <w:p w:rsidR="00653CE5" w:rsidRDefault="00653CE5">
      <w:pPr>
        <w:pStyle w:val="af4"/>
        <w:jc w:val="center"/>
        <w:rPr>
          <w:rFonts w:ascii="PT Astra Serif" w:hAnsi="PT Astra Serif"/>
        </w:rPr>
      </w:pPr>
    </w:p>
    <w:p w:rsidR="00653CE5" w:rsidRDefault="00CD347C">
      <w:pPr>
        <w:pStyle w:val="af4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653CE5" w:rsidRDefault="00653CE5">
      <w:pPr>
        <w:pStyle w:val="af4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653CE5" w:rsidRDefault="00653CE5">
      <w:pPr>
        <w:jc w:val="center"/>
        <w:rPr>
          <w:rFonts w:ascii="PT Astra Serif" w:hAnsi="PT Astra Serif"/>
          <w:color w:val="000000"/>
          <w:spacing w:val="-12"/>
        </w:rPr>
      </w:pPr>
    </w:p>
    <w:p w:rsidR="00653CE5" w:rsidRDefault="00653CE5">
      <w:pPr>
        <w:jc w:val="center"/>
        <w:rPr>
          <w:rFonts w:ascii="PT Astra Serif" w:hAnsi="PT Astra Serif"/>
          <w:color w:val="000000"/>
          <w:spacing w:val="-12"/>
        </w:rPr>
      </w:pPr>
    </w:p>
    <w:p w:rsidR="00653CE5" w:rsidRDefault="00CD347C">
      <w:pPr>
        <w:outlineLvl w:val="0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О </w:t>
      </w:r>
      <w:proofErr w:type="gramStart"/>
      <w:r>
        <w:rPr>
          <w:rFonts w:ascii="PT Astra Serif" w:hAnsi="PT Astra Serif"/>
          <w:b/>
        </w:rPr>
        <w:t>внесении</w:t>
      </w:r>
      <w:proofErr w:type="gramEnd"/>
      <w:r>
        <w:rPr>
          <w:rFonts w:ascii="PT Astra Serif" w:hAnsi="PT Astra Serif"/>
          <w:b/>
        </w:rPr>
        <w:t xml:space="preserve"> изменений</w:t>
      </w:r>
    </w:p>
    <w:p w:rsidR="00653CE5" w:rsidRDefault="00CD347C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в приказ министерства финансов</w:t>
      </w:r>
    </w:p>
    <w:p w:rsidR="00653CE5" w:rsidRDefault="00CD347C">
      <w:pPr>
        <w:outlineLvl w:val="0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Саратовской области </w:t>
      </w:r>
    </w:p>
    <w:p w:rsidR="00653CE5" w:rsidRDefault="00CD347C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от 8 февраля 2021 года № 45</w:t>
      </w:r>
    </w:p>
    <w:p w:rsidR="00653CE5" w:rsidRDefault="00653CE5">
      <w:pPr>
        <w:pStyle w:val="ConsNormal"/>
        <w:ind w:right="0" w:firstLine="0"/>
        <w:jc w:val="both"/>
        <w:outlineLvl w:val="0"/>
        <w:rPr>
          <w:rFonts w:ascii="PT Astra Serif" w:hAnsi="PT Astra Serif" w:cs="Times New Roman"/>
          <w:spacing w:val="-6"/>
          <w:sz w:val="28"/>
          <w:szCs w:val="28"/>
        </w:rPr>
      </w:pPr>
    </w:p>
    <w:p w:rsidR="00653CE5" w:rsidRDefault="00B92193">
      <w:pPr>
        <w:pStyle w:val="ConsNormal"/>
        <w:ind w:right="0" w:firstLine="709"/>
        <w:jc w:val="both"/>
        <w:outlineLvl w:val="0"/>
        <w:rPr>
          <w:rFonts w:ascii="PT Astra Serif" w:hAnsi="PT Astra Serif"/>
        </w:rPr>
      </w:pPr>
      <w:r>
        <w:rPr>
          <w:rFonts w:ascii="PT Astra Serif" w:hAnsi="PT Astra Serif" w:cs="Times New Roman"/>
          <w:spacing w:val="-6"/>
          <w:sz w:val="28"/>
          <w:szCs w:val="28"/>
        </w:rPr>
        <w:t>В</w:t>
      </w:r>
      <w:bookmarkStart w:id="0" w:name="_GoBack"/>
      <w:bookmarkEnd w:id="0"/>
      <w:r w:rsidR="00CD347C">
        <w:rPr>
          <w:rFonts w:ascii="PT Astra Serif" w:hAnsi="PT Astra Serif" w:cs="Times New Roman"/>
          <w:spacing w:val="-6"/>
          <w:sz w:val="28"/>
          <w:szCs w:val="28"/>
        </w:rPr>
        <w:t xml:space="preserve"> целях установления единого порядка составления и представления в министерство финансов Саратовской области главными распорядителями, получателями средств областного бюджета, областными государственными бюджетными и автономными учреждениями, осуществляющими полномочия органа государственной власти области по исполнению публичных обязательств перед физическими лицами, подлежащих исполнению в денежной форме, главными администраторами доходов и источников финансирования дефицита областного бюджета месячной, квартальной бюджетной отчетности об исполнении областного бюджета, и главными распорядителями средств областного бюджета, осуществляющими функции и полномочия учредителя в отношении областных государственных бюджетных и автономных учреждений сводной бухгалтерской отчетности, в соответствии с приказами Министерства финансов Российской Федерации от 31 декабря 2016 года № 256н «</w:t>
      </w:r>
      <w:r w:rsidR="00CD347C">
        <w:rPr>
          <w:rFonts w:ascii="PT Astra Serif" w:hAnsi="PT Astra Serif" w:cs="Times New Roman"/>
          <w:sz w:val="28"/>
          <w:szCs w:val="28"/>
        </w:rPr>
        <w:t xml:space="preserve">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</w:t>
      </w:r>
      <w:r w:rsidR="00CD347C">
        <w:rPr>
          <w:rFonts w:ascii="PT Astra Serif" w:hAnsi="PT Astra Serif" w:cs="Times New Roman"/>
          <w:spacing w:val="-6"/>
          <w:sz w:val="28"/>
          <w:szCs w:val="28"/>
        </w:rPr>
        <w:t>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 от 25 марта 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</w:p>
    <w:p w:rsidR="00653CE5" w:rsidRDefault="00653CE5">
      <w:pPr>
        <w:pStyle w:val="Standard"/>
        <w:shd w:val="clear" w:color="auto" w:fill="FFFFFF"/>
        <w:spacing w:line="22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53CE5" w:rsidRDefault="00CD347C">
      <w:pPr>
        <w:pStyle w:val="Standard"/>
        <w:spacing w:line="22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>ПРИКАЗЫВАЮ:</w:t>
      </w:r>
    </w:p>
    <w:p w:rsidR="00653CE5" w:rsidRDefault="00653CE5">
      <w:pPr>
        <w:pStyle w:val="Standard"/>
        <w:spacing w:line="22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53CE5" w:rsidRDefault="00CD347C">
      <w:pPr>
        <w:shd w:val="clear" w:color="auto" w:fill="FFFFFF"/>
        <w:spacing w:line="233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1. </w:t>
      </w:r>
      <w:proofErr w:type="gramStart"/>
      <w:r>
        <w:rPr>
          <w:rFonts w:ascii="PT Astra Serif" w:hAnsi="PT Astra Serif"/>
        </w:rPr>
        <w:t xml:space="preserve">Внести в Указания о порядке составления и представления в министерство финансов Саратовской области месячной, квартальной отчетности об исполнении областного бюджета главных распорядителей, получателей средств областного бюджета, областных государственных </w:t>
      </w:r>
      <w:r>
        <w:rPr>
          <w:rFonts w:ascii="PT Astra Serif" w:hAnsi="PT Astra Serif"/>
        </w:rPr>
        <w:lastRenderedPageBreak/>
        <w:t>бюджетных и автономных учреждений, осуществляющих полномочия органа государственной власти области по исполнению публичных обязательств перед физическими лицами, подлежащих исполнению в денежной форме, главных администраторов доходов и источников финансирования дефицита областного бюджета и</w:t>
      </w:r>
      <w:proofErr w:type="gramEnd"/>
      <w:r>
        <w:rPr>
          <w:rFonts w:ascii="PT Astra Serif" w:hAnsi="PT Astra Serif"/>
        </w:rPr>
        <w:t xml:space="preserve"> </w:t>
      </w:r>
      <w:proofErr w:type="gramStart"/>
      <w:r>
        <w:rPr>
          <w:rFonts w:ascii="PT Astra Serif" w:hAnsi="PT Astra Serif"/>
        </w:rPr>
        <w:t>сводной бухгалтерской отчетности главных распорядителей средств областного бюджета, осуществляющих функции и полномочия учредителя в отношении областных государственных бюджетных и автономных учреждений, утвержденные приказом министерства финансов Саратовской области от 8 февраля 2021 года № 45 «О порядке составления и сроках представления в министерство финансов Саратовской области месячной и квартальной отчетности об исполнении областного бюджета главных распорядителей, получателей средств областного бюджета, главных администраторов</w:t>
      </w:r>
      <w:proofErr w:type="gramEnd"/>
      <w:r>
        <w:rPr>
          <w:rFonts w:ascii="PT Astra Serif" w:hAnsi="PT Astra Serif"/>
        </w:rPr>
        <w:t xml:space="preserve"> доходов и источников финансирования дефицита областного бюджета и сводной бухгалтерской отчетности областных государственных бюджетных и автономных учреждений» следующие изменения: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изложить пункт 13.1 в следующей редакции: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«Пояснительная записка (ф. 0503160) включает в себя текстовую часть и составляется в разрезе следующих разделов: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Раздел 1 «Организационная структура субъекта бюджетной отчетности», включающий: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Сведения о количестве подведомственных участников бюджетного процесса, учреждений и государственных (муниципальных) унитарных предприятий (ф. 0503161), периодичность – в составе квартальной отчетности об исполнении областного бюджета;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Раздел 2 «Результаты деятельности субъекта бюджетной отчетности»;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Раздел 3 «Анализ отчета об исполнении бюджета субъектом бюджетной отчетности», включающий:</w:t>
      </w:r>
    </w:p>
    <w:p w:rsidR="00653CE5" w:rsidRDefault="00CD347C">
      <w:pPr>
        <w:ind w:firstLine="709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>Сведения об исполнении бюджета (ф. 0503164) (далее – Сведения (ф. 0503164).</w:t>
      </w:r>
      <w:proofErr w:type="gramEnd"/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При составлении Сведений (ф. 0503164) необходимо учесть следующее:</w:t>
      </w:r>
    </w:p>
    <w:p w:rsidR="00653CE5" w:rsidRDefault="00CD347C">
      <w:pPr>
        <w:ind w:firstLine="709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>Сведения (ф. 0503164) формируются путем обобщения данных по исполнению получателем бюджетных средств, администратором доходов бюджета, администратором источников финансирования дефицита бюджета, главным распорядителем областного бюджета как получателем бюджетных средств – на основании показателей Отчета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 (далее – Отчет (ф. 0503127)), сформированного</w:t>
      </w:r>
      <w:proofErr w:type="gramEnd"/>
      <w:r>
        <w:rPr>
          <w:rFonts w:ascii="PT Astra Serif" w:hAnsi="PT Astra Serif"/>
        </w:rPr>
        <w:t xml:space="preserve"> на отчетную дату. </w:t>
      </w:r>
      <w:proofErr w:type="gramStart"/>
      <w:r>
        <w:rPr>
          <w:rFonts w:ascii="PT Astra Serif" w:hAnsi="PT Astra Serif"/>
        </w:rPr>
        <w:t xml:space="preserve">В программном комплексе Свод Смарт для формирования показателей Сведений (ф. 0503164) на основании Отчета (ф. 0503127) необходимо использовать при </w:t>
      </w:r>
      <w:proofErr w:type="spellStart"/>
      <w:r>
        <w:rPr>
          <w:rFonts w:ascii="PT Astra Serif" w:hAnsi="PT Astra Serif"/>
        </w:rPr>
        <w:t>автозаполнении</w:t>
      </w:r>
      <w:proofErr w:type="spellEnd"/>
      <w:r>
        <w:rPr>
          <w:rFonts w:ascii="PT Astra Serif" w:hAnsi="PT Astra Serif"/>
        </w:rPr>
        <w:t xml:space="preserve"> группу КС № 4498;</w:t>
      </w:r>
      <w:proofErr w:type="gramEnd"/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сводные Сведения (ф. 0503164) формируются субъектами бюджетной отчетности на основании показателей Сведений (ф. 0503164), сформированных и представленных на отчетную дату распорядителями, получателями бюджетных средств, администраторами доходов бюджета, администраторами источников финансирования дефицита бюджета;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показатели раздела 1 «Доходы бюджета» формируются с детализацией кодов классификации доходов бюджетов с указанием в группе подвида доходов бюджетов нулей;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показатели раздела 3 «Источники финансирования дефицита бюджета» отражаются в структуре соответствующих </w:t>
      </w:r>
      <w:proofErr w:type="gramStart"/>
      <w:r>
        <w:rPr>
          <w:rFonts w:ascii="PT Astra Serif" w:hAnsi="PT Astra Serif"/>
        </w:rPr>
        <w:t>кодов бюджетной классификации источников финансирования дефицитов бюджетов</w:t>
      </w:r>
      <w:proofErr w:type="gramEnd"/>
      <w:r>
        <w:rPr>
          <w:rFonts w:ascii="PT Astra Serif" w:hAnsi="PT Astra Serif"/>
        </w:rPr>
        <w:t xml:space="preserve"> без детализации подвида источника финансирования дефицитов бюджетов;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в разделе 2 «Расходы бюджета» сводных Сведений (ф. 0503164) субъектами бюджетной отчетности отражаются показатели, по которым исполнение бюджетных назначений по состоянию на 1 апреля текущего финансового года составляет менее 20%, на 1 июля текущего финансового года - менее 45%, на 1 октября текущего финансового года - менее 70%;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графы 8, 9 раздела 1 «Доходы бюджета» и раздела 3 «Источники финансирования дефицитов бюджетов» не заполняются. Факторный анализ отклонения фактического исполнения доходов бюджета от прогноза поступлений доходов в бюджет, а также анализ исполнения доходов в части непрогнозируемых главным администратором доходов и отклонения фактического </w:t>
      </w:r>
      <w:proofErr w:type="gramStart"/>
      <w:r>
        <w:rPr>
          <w:rFonts w:ascii="PT Astra Serif" w:hAnsi="PT Astra Serif"/>
        </w:rPr>
        <w:t>исполнения источников финансирования дефицитов бюджетов</w:t>
      </w:r>
      <w:proofErr w:type="gramEnd"/>
      <w:r>
        <w:rPr>
          <w:rFonts w:ascii="PT Astra Serif" w:hAnsi="PT Astra Serif"/>
        </w:rPr>
        <w:t xml:space="preserve"> от плановых показателей раскрывается в текстовой части Пояснительной записки (ф. 0503160);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в графах 8, 9 раздела 2 «Расходы бюджета» Сведений об исполнении бюджета (ф. 0503164) отражаются соответственно код и наименования причины, повлиявшей на наличие отклонений, согласно перечню причин, установленному пунктом 163 Инструкции № 191н. 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Код причины 99 «Иные причины» применяется только в случае, если   другие причины, приведенные в указанном перечне причин,  не в полной мере характеризуют отклонения фактических показателей </w:t>
      </w:r>
      <w:proofErr w:type="gramStart"/>
      <w:r>
        <w:rPr>
          <w:rFonts w:ascii="PT Astra Serif" w:hAnsi="PT Astra Serif"/>
        </w:rPr>
        <w:t>от</w:t>
      </w:r>
      <w:proofErr w:type="gramEnd"/>
      <w:r>
        <w:rPr>
          <w:rFonts w:ascii="PT Astra Serif" w:hAnsi="PT Astra Serif"/>
        </w:rPr>
        <w:t xml:space="preserve"> плановых. В текстовой части Пояснительной записки (ф. 0503160) указывается детальное описание причин отклонений от плановых показателей.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В случае наличия нескольких причин, повлиявших на наличие отклонений, указывается код причины, оказавшей наибольшее влияние.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Раздел 4 «Анализ показателей бухгалтерской отчетности субъекта бюджетной отчетности», включающий: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Сведения об остатках денежных средств на счетах получателя бюджетных средств (ф. 0503178) (далее – Сведения (ф. 0503178)).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В программном комплексе Свод Смарт Сведения (ф. 0503178) представляются раздельно по формам: 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форма 0503178М_Б (бюджетная) – указываются данные по остаткам денежных средств на банковских счетах, открытых в кредитных </w:t>
      </w:r>
      <w:r>
        <w:rPr>
          <w:rFonts w:ascii="PT Astra Serif" w:hAnsi="PT Astra Serif"/>
        </w:rPr>
        <w:lastRenderedPageBreak/>
        <w:t>организациях, в том числе при условии нулевых остатков денежных средств по ним на начало и конец отчетного периода;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форма 0503178М_</w:t>
      </w:r>
      <w:proofErr w:type="gramStart"/>
      <w:r>
        <w:rPr>
          <w:rFonts w:ascii="PT Astra Serif" w:hAnsi="PT Astra Serif"/>
        </w:rPr>
        <w:t>СВ</w:t>
      </w:r>
      <w:proofErr w:type="gramEnd"/>
      <w:r>
        <w:rPr>
          <w:rFonts w:ascii="PT Astra Serif" w:hAnsi="PT Astra Serif"/>
        </w:rPr>
        <w:t xml:space="preserve"> (средства во временном распоряжении) – указываются данные по остаткам  денежных средств во временном распоряжении, включая данные на счетах </w:t>
      </w:r>
      <w:proofErr w:type="spellStart"/>
      <w:r>
        <w:rPr>
          <w:rFonts w:ascii="PT Astra Serif" w:hAnsi="PT Astra Serif"/>
        </w:rPr>
        <w:t>эскроу</w:t>
      </w:r>
      <w:proofErr w:type="spellEnd"/>
      <w:r>
        <w:rPr>
          <w:rFonts w:ascii="PT Astra Serif" w:hAnsi="PT Astra Serif"/>
        </w:rPr>
        <w:t>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форма 0503178М_Касса – указываются данные об остатках денежных сре</w:t>
      </w:r>
      <w:proofErr w:type="gramStart"/>
      <w:r>
        <w:rPr>
          <w:rFonts w:ascii="PT Astra Serif" w:hAnsi="PT Astra Serif"/>
        </w:rPr>
        <w:t>дств в к</w:t>
      </w:r>
      <w:proofErr w:type="gramEnd"/>
      <w:r>
        <w:rPr>
          <w:rFonts w:ascii="PT Astra Serif" w:hAnsi="PT Astra Serif"/>
        </w:rPr>
        <w:t>ассе учреждения.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Периодичность представления Сведений (ф. 0503178) – в составе месячной бюджетной отчетности об исполнении областного бюджета форма 0503178М_Б (бюджетная), в составе квартальной отчетности об исполнении областного бюджета формы 0503178М_</w:t>
      </w:r>
      <w:proofErr w:type="gramStart"/>
      <w:r>
        <w:rPr>
          <w:rFonts w:ascii="PT Astra Serif" w:hAnsi="PT Astra Serif"/>
        </w:rPr>
        <w:t>СВ</w:t>
      </w:r>
      <w:proofErr w:type="gramEnd"/>
      <w:r>
        <w:rPr>
          <w:rFonts w:ascii="PT Astra Serif" w:hAnsi="PT Astra Serif"/>
        </w:rPr>
        <w:t xml:space="preserve"> и 0503178М_Касса.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Показатели, отраженные в Сведениях (ф. 0503178), должны быть подтверждены регистрами бюджетного учета субъекта отчетности.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Сведения по дебиторской и кредиторской задолженности (ф. 0503169) (далее – Сведения (ф. 0503169)).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Сведения (ф. 0503169) формируются и представляются в министерство финансов области в составе квартальной отчетности за 1 полугодие и 9 месяцев отчетного года. 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Сведения (ф. 0503169) формируются согласно пункту                            167 Инструкции 191н, с учетом следующих особенностей: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Необходимо обеспечить соответствие кодов видов расходов и кодов аналитических счетов бюджетного учета.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Коды аналитической группы вида источников финансирования дефицитов бюджетов в соответствующих разрядах номера счета бюджетного учета отражаются со значением «ноль».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В графах 4, 11, 14 отражаются данные о просроченной дебиторской, кредиторской задолженности на начало года, на конец отчетного периода и на конец аналогичного отчетного периода прошлого финансового года соответственно. 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Формирование показателей в графах 3, 10, 13 отражающих информацию о долгосрочной задолженности в Сведениях (ф. 0503169) не осуществляется.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Раздел 2 Сведений (ф. 0503169) заполняется в разрезе контрагентов с указанием в графе 1 номера счетов бюджетного учета (26 знаков).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В графах 3 - 4 раздела 2 отражается (в формате «ММ</w:t>
      </w:r>
      <w:proofErr w:type="gramStart"/>
      <w:r>
        <w:rPr>
          <w:rFonts w:ascii="PT Astra Serif" w:hAnsi="PT Astra Serif"/>
        </w:rPr>
        <w:t>.Г</w:t>
      </w:r>
      <w:proofErr w:type="gramEnd"/>
      <w:r>
        <w:rPr>
          <w:rFonts w:ascii="PT Astra Serif" w:hAnsi="PT Astra Serif"/>
        </w:rPr>
        <w:t>ГГГ») дата, соответственно, возникновения просроченной кредиторской (дебиторской) задолженности учреждения и дата ее исполнения по правовому основанию (договору, счету, нормативному правовому акту, исполнительному документу и т.п.).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В графах 5, 6 указывается идентификационный номер налогоплательщика (ИНН) кредитора (дебитора), а также наименование кредитора (дебитора) соответственно. Показатели расчетов по задолженности с физическими лицами, индивидуальными предпринимателями подлежат обобщению. При этом в графе 5 указывается значение «0000000000».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В графах 7, 8 отражаются соответственно код и наименование причины, повлиявшей на наличие просроченной дебиторской (кредиторской) задолженности.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Сведения об изменении остатков валюты баланса (ф. 0503173).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Кроме того, в текстовой части раздела 4 «Анализ показателей бухгалтерской отчетности субъекта бюджетной отчетности» Пояснительной записки (ф. 0503160) указываются: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а) данные по исполнению бюджета, отраженные в отчетности со знаком «минус»;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б) причины возникновения, меры, принятые (принимаемые) для урегулирования просроченной дебиторской, кредиторской задолженности;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в) иная информация, оказавшая существенное влияние и характеризующая результаты исполнения бюджета за отчетный период.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Раздел 5 «Прочие вопросы деятельности субъекта бюджетной отчетности», включающий: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Сведения об исполнении судебных решений по денежным обязательствам бюджета (ф. 0503296) формируются в составе квартальной отчетности.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 xml:space="preserve">В случае если все показатели, предусмотренные формой бюджетной отчетности не имеют числового значения, такая форма отчетности не составляется, </w:t>
      </w:r>
      <w:proofErr w:type="gramStart"/>
      <w:r>
        <w:rPr>
          <w:rFonts w:ascii="PT Astra Serif" w:hAnsi="PT Astra Serif"/>
        </w:rPr>
        <w:t>информация</w:t>
      </w:r>
      <w:proofErr w:type="gramEnd"/>
      <w:r>
        <w:rPr>
          <w:rFonts w:ascii="PT Astra Serif" w:hAnsi="PT Astra Serif"/>
        </w:rPr>
        <w:t xml:space="preserve"> о чем подлежит отражению в пояснительной записке к бюджетной отчетности за отчетный период.</w:t>
      </w:r>
    </w:p>
    <w:p w:rsidR="00653CE5" w:rsidRDefault="00CD347C">
      <w:pPr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При осуществлении формирования и (или) представления месячной бюджетной отчетности об исполнении областного бюджета средствами программных комплексов автоматизации документы месячной бюджетной отчетности об исполнении областного бюджета, не имеющие числовых значений показателей и не содержащие пояснения, формируются и представляются с указанием статуса «показатели отсутствуют»</w:t>
      </w:r>
      <w:proofErr w:type="gramStart"/>
      <w:r>
        <w:rPr>
          <w:rFonts w:ascii="PT Astra Serif" w:hAnsi="PT Astra Serif"/>
        </w:rPr>
        <w:t>.»</w:t>
      </w:r>
      <w:proofErr w:type="gramEnd"/>
      <w:r>
        <w:rPr>
          <w:rFonts w:ascii="PT Astra Serif" w:hAnsi="PT Astra Serif"/>
        </w:rPr>
        <w:t>.</w:t>
      </w:r>
    </w:p>
    <w:p w:rsidR="00653CE5" w:rsidRDefault="00CD347C">
      <w:pPr>
        <w:ind w:firstLine="709"/>
        <w:rPr>
          <w:rFonts w:ascii="PT Astra Serif" w:hAnsi="PT Astra Serif"/>
          <w:spacing w:val="-4"/>
        </w:rPr>
      </w:pPr>
      <w:r>
        <w:rPr>
          <w:rFonts w:ascii="PT Astra Serif" w:hAnsi="PT Astra Serif"/>
        </w:rPr>
        <w:t xml:space="preserve">2. </w:t>
      </w:r>
      <w:r>
        <w:rPr>
          <w:rFonts w:ascii="PT Astra Serif" w:hAnsi="PT Astra Serif"/>
          <w:spacing w:val="-4"/>
        </w:rPr>
        <w:t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653CE5" w:rsidRDefault="00CD347C">
      <w:pPr>
        <w:tabs>
          <w:tab w:val="left" w:pos="1134"/>
        </w:tabs>
        <w:ind w:firstLine="709"/>
        <w:rPr>
          <w:rFonts w:ascii="PT Astra Serif" w:hAnsi="PT Astra Serif"/>
          <w:spacing w:val="-6"/>
        </w:rPr>
      </w:pPr>
      <w:r>
        <w:rPr>
          <w:rFonts w:ascii="PT Astra Serif" w:hAnsi="PT Astra Serif"/>
          <w:spacing w:val="-6"/>
        </w:rPr>
        <w:t xml:space="preserve">3. </w:t>
      </w:r>
      <w:proofErr w:type="gramStart"/>
      <w:r>
        <w:rPr>
          <w:rFonts w:ascii="PT Astra Serif" w:hAnsi="PT Astra Serif"/>
          <w:spacing w:val="-6"/>
        </w:rPr>
        <w:t>Контроль за</w:t>
      </w:r>
      <w:proofErr w:type="gramEnd"/>
      <w:r>
        <w:rPr>
          <w:rFonts w:ascii="PT Astra Serif" w:hAnsi="PT Astra Serif"/>
          <w:spacing w:val="-6"/>
        </w:rPr>
        <w:t xml:space="preserve"> исполнением настоящего приказа возложить на заместителя министра финансов Саратовской области Меркулова И.В.</w:t>
      </w:r>
    </w:p>
    <w:p w:rsidR="00653CE5" w:rsidRDefault="00CD347C">
      <w:pPr>
        <w:pStyle w:val="ConsPlusNormal"/>
        <w:tabs>
          <w:tab w:val="left" w:pos="851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bCs/>
          <w:spacing w:val="-6"/>
        </w:rPr>
        <w:t>4. Настоящий приказ вступает в силу со дня его подписания.</w:t>
      </w:r>
    </w:p>
    <w:p w:rsidR="00653CE5" w:rsidRDefault="00653CE5">
      <w:pPr>
        <w:tabs>
          <w:tab w:val="left" w:pos="1040"/>
        </w:tabs>
        <w:spacing w:line="220" w:lineRule="auto"/>
        <w:ind w:firstLine="720"/>
        <w:rPr>
          <w:rFonts w:ascii="PT Astra Serif" w:hAnsi="PT Astra Serif"/>
          <w:bCs/>
          <w:spacing w:val="-6"/>
        </w:rPr>
      </w:pPr>
    </w:p>
    <w:p w:rsidR="00653CE5" w:rsidRDefault="00653CE5">
      <w:pPr>
        <w:jc w:val="center"/>
        <w:rPr>
          <w:rFonts w:ascii="PT Astra Serif" w:hAnsi="PT Astra Serif"/>
          <w:color w:val="000000"/>
          <w:spacing w:val="-12"/>
        </w:rPr>
      </w:pPr>
    </w:p>
    <w:p w:rsidR="00653CE5" w:rsidRDefault="00653CE5">
      <w:pPr>
        <w:rPr>
          <w:rFonts w:ascii="PT Astra Serif" w:hAnsi="PT Astra Serif"/>
          <w:b/>
        </w:rPr>
      </w:pPr>
    </w:p>
    <w:p w:rsidR="00653CE5" w:rsidRDefault="00CD347C">
      <w:pPr>
        <w:rPr>
          <w:rFonts w:ascii="PT Astra Serif" w:hAnsi="PT Astra Serif"/>
        </w:rPr>
      </w:pPr>
      <w:r>
        <w:rPr>
          <w:rFonts w:ascii="PT Astra Serif" w:hAnsi="PT Astra Serif"/>
          <w:b/>
        </w:rPr>
        <w:t>Министр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</w:t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</w:r>
      <w:r>
        <w:rPr>
          <w:rFonts w:ascii="PT Astra Serif" w:hAnsi="PT Astra Serif"/>
          <w:b/>
        </w:rPr>
        <w:tab/>
        <w:t xml:space="preserve">                И.С. Бегинина</w:t>
      </w:r>
      <w:r>
        <w:rPr>
          <w:rFonts w:ascii="PT Astra Serif" w:hAnsi="PT Astra Serif"/>
        </w:rPr>
        <w:t xml:space="preserve"> </w:t>
      </w:r>
    </w:p>
    <w:p w:rsidR="00653CE5" w:rsidRDefault="00653CE5">
      <w:pPr>
        <w:rPr>
          <w:rFonts w:ascii="PT Astra Serif" w:hAnsi="PT Astra Serif"/>
        </w:rPr>
      </w:pPr>
    </w:p>
    <w:p w:rsidR="00653CE5" w:rsidRDefault="00653CE5">
      <w:pPr>
        <w:rPr>
          <w:rFonts w:ascii="PT Astra Serif" w:hAnsi="PT Astra Serif"/>
        </w:rPr>
      </w:pPr>
    </w:p>
    <w:p w:rsidR="00653CE5" w:rsidRDefault="00653CE5">
      <w:pPr>
        <w:rPr>
          <w:rFonts w:ascii="PT Astra Serif" w:hAnsi="PT Astra Serif"/>
        </w:rPr>
      </w:pPr>
    </w:p>
    <w:p w:rsidR="00653CE5" w:rsidRDefault="00653CE5">
      <w:pPr>
        <w:rPr>
          <w:rFonts w:ascii="PT Astra Serif" w:hAnsi="PT Astra Serif"/>
        </w:rPr>
      </w:pPr>
    </w:p>
    <w:p w:rsidR="00653CE5" w:rsidRDefault="00653CE5">
      <w:pPr>
        <w:rPr>
          <w:rFonts w:ascii="PT Astra Serif" w:hAnsi="PT Astra Serif"/>
        </w:rPr>
      </w:pPr>
    </w:p>
    <w:sectPr w:rsidR="00653CE5">
      <w:headerReference w:type="default" r:id="rId12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87" w:rsidRDefault="00236F87">
      <w:r>
        <w:separator/>
      </w:r>
    </w:p>
  </w:endnote>
  <w:endnote w:type="continuationSeparator" w:id="0">
    <w:p w:rsidR="00236F87" w:rsidRDefault="0023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87" w:rsidRDefault="00236F87">
      <w:r>
        <w:separator/>
      </w:r>
    </w:p>
  </w:footnote>
  <w:footnote w:type="continuationSeparator" w:id="0">
    <w:p w:rsidR="00236F87" w:rsidRDefault="00236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1832335"/>
      <w:docPartObj>
        <w:docPartGallery w:val="Page Numbers (Top of Page)"/>
        <w:docPartUnique/>
      </w:docPartObj>
    </w:sdtPr>
    <w:sdtEndPr/>
    <w:sdtContent>
      <w:p w:rsidR="00653CE5" w:rsidRDefault="00CD347C">
        <w:pPr>
          <w:pStyle w:val="af4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B92193">
          <w:rPr>
            <w:noProof/>
            <w:sz w:val="24"/>
          </w:rPr>
          <w:t>5</w:t>
        </w:r>
        <w:r>
          <w:rPr>
            <w:sz w:val="24"/>
          </w:rPr>
          <w:fldChar w:fldCharType="end"/>
        </w:r>
      </w:p>
    </w:sdtContent>
  </w:sdt>
  <w:p w:rsidR="00653CE5" w:rsidRDefault="00653CE5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41D75"/>
    <w:multiLevelType w:val="hybridMultilevel"/>
    <w:tmpl w:val="A6EAE230"/>
    <w:lvl w:ilvl="0" w:tplc="F9B6505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D0420052">
      <w:start w:val="1"/>
      <w:numFmt w:val="lowerLetter"/>
      <w:lvlText w:val="%2."/>
      <w:lvlJc w:val="left"/>
      <w:pPr>
        <w:ind w:left="1440" w:hanging="360"/>
      </w:pPr>
    </w:lvl>
    <w:lvl w:ilvl="2" w:tplc="8F088CB6">
      <w:start w:val="1"/>
      <w:numFmt w:val="lowerRoman"/>
      <w:lvlText w:val="%3."/>
      <w:lvlJc w:val="right"/>
      <w:pPr>
        <w:ind w:left="2160" w:hanging="180"/>
      </w:pPr>
    </w:lvl>
    <w:lvl w:ilvl="3" w:tplc="BB0C3B92">
      <w:start w:val="1"/>
      <w:numFmt w:val="decimal"/>
      <w:lvlText w:val="%4."/>
      <w:lvlJc w:val="left"/>
      <w:pPr>
        <w:ind w:left="2880" w:hanging="360"/>
      </w:pPr>
    </w:lvl>
    <w:lvl w:ilvl="4" w:tplc="B48CDA2E">
      <w:start w:val="1"/>
      <w:numFmt w:val="lowerLetter"/>
      <w:lvlText w:val="%5."/>
      <w:lvlJc w:val="left"/>
      <w:pPr>
        <w:ind w:left="3600" w:hanging="360"/>
      </w:pPr>
    </w:lvl>
    <w:lvl w:ilvl="5" w:tplc="915CDCA4">
      <w:start w:val="1"/>
      <w:numFmt w:val="lowerRoman"/>
      <w:lvlText w:val="%6."/>
      <w:lvlJc w:val="right"/>
      <w:pPr>
        <w:ind w:left="4320" w:hanging="180"/>
      </w:pPr>
    </w:lvl>
    <w:lvl w:ilvl="6" w:tplc="3416A860">
      <w:start w:val="1"/>
      <w:numFmt w:val="decimal"/>
      <w:lvlText w:val="%7."/>
      <w:lvlJc w:val="left"/>
      <w:pPr>
        <w:ind w:left="5040" w:hanging="360"/>
      </w:pPr>
    </w:lvl>
    <w:lvl w:ilvl="7" w:tplc="1F08CD36">
      <w:start w:val="1"/>
      <w:numFmt w:val="lowerLetter"/>
      <w:lvlText w:val="%8."/>
      <w:lvlJc w:val="left"/>
      <w:pPr>
        <w:ind w:left="5760" w:hanging="360"/>
      </w:pPr>
    </w:lvl>
    <w:lvl w:ilvl="8" w:tplc="3E1E96C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C0653"/>
    <w:multiLevelType w:val="hybridMultilevel"/>
    <w:tmpl w:val="84D2EE18"/>
    <w:lvl w:ilvl="0" w:tplc="CA3616B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9912E6EE">
      <w:start w:val="1"/>
      <w:numFmt w:val="lowerLetter"/>
      <w:lvlText w:val="%2."/>
      <w:lvlJc w:val="left"/>
      <w:pPr>
        <w:ind w:left="1789" w:hanging="360"/>
      </w:pPr>
    </w:lvl>
    <w:lvl w:ilvl="2" w:tplc="C7D6FB9A">
      <w:start w:val="1"/>
      <w:numFmt w:val="lowerRoman"/>
      <w:lvlText w:val="%3."/>
      <w:lvlJc w:val="right"/>
      <w:pPr>
        <w:ind w:left="2509" w:hanging="180"/>
      </w:pPr>
    </w:lvl>
    <w:lvl w:ilvl="3" w:tplc="0D5CFDF6">
      <w:start w:val="1"/>
      <w:numFmt w:val="decimal"/>
      <w:lvlText w:val="%4."/>
      <w:lvlJc w:val="left"/>
      <w:pPr>
        <w:ind w:left="3229" w:hanging="360"/>
      </w:pPr>
    </w:lvl>
    <w:lvl w:ilvl="4" w:tplc="8CCA8EB6">
      <w:start w:val="1"/>
      <w:numFmt w:val="lowerLetter"/>
      <w:lvlText w:val="%5."/>
      <w:lvlJc w:val="left"/>
      <w:pPr>
        <w:ind w:left="3949" w:hanging="360"/>
      </w:pPr>
    </w:lvl>
    <w:lvl w:ilvl="5" w:tplc="46BC1330">
      <w:start w:val="1"/>
      <w:numFmt w:val="lowerRoman"/>
      <w:lvlText w:val="%6."/>
      <w:lvlJc w:val="right"/>
      <w:pPr>
        <w:ind w:left="4669" w:hanging="180"/>
      </w:pPr>
    </w:lvl>
    <w:lvl w:ilvl="6" w:tplc="55D09C0C">
      <w:start w:val="1"/>
      <w:numFmt w:val="decimal"/>
      <w:lvlText w:val="%7."/>
      <w:lvlJc w:val="left"/>
      <w:pPr>
        <w:ind w:left="5389" w:hanging="360"/>
      </w:pPr>
    </w:lvl>
    <w:lvl w:ilvl="7" w:tplc="2752E6D8">
      <w:start w:val="1"/>
      <w:numFmt w:val="lowerLetter"/>
      <w:lvlText w:val="%8."/>
      <w:lvlJc w:val="left"/>
      <w:pPr>
        <w:ind w:left="6109" w:hanging="360"/>
      </w:pPr>
    </w:lvl>
    <w:lvl w:ilvl="8" w:tplc="A82C281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CE5"/>
    <w:rsid w:val="00236F87"/>
    <w:rsid w:val="00653CE5"/>
    <w:rsid w:val="00B92193"/>
    <w:rsid w:val="00CD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C9BFD-3286-4258-BD07-976811C7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1763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</cp:revision>
  <dcterms:created xsi:type="dcterms:W3CDTF">2023-04-21T13:03:00Z</dcterms:created>
  <dcterms:modified xsi:type="dcterms:W3CDTF">2023-04-21T13:54:00Z</dcterms:modified>
</cp:coreProperties>
</file>